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אגרת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להורים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לקראת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יציאה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לחופשה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בטוחה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לוקחים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אחריות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-</w:t>
      </w:r>
    </w:p>
    <w:p w:rsidR="00000000" w:rsidDel="00000000" w:rsidP="00000000" w:rsidRDefault="00000000" w:rsidRPr="00000000" w14:paraId="00000003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בוחרים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בקיץ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בריא</w:t>
      </w:r>
      <w:r w:rsidDel="00000000" w:rsidR="00000000" w:rsidRPr="00000000">
        <w:rPr>
          <w:b w:val="1"/>
          <w:sz w:val="36"/>
          <w:szCs w:val="36"/>
          <w:rtl w:val="1"/>
        </w:rPr>
        <w:t xml:space="preserve">,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בטוח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ומוגן</w:t>
      </w:r>
      <w:r w:rsidDel="00000000" w:rsidR="00000000" w:rsidRPr="00000000">
        <w:rPr>
          <w:b w:val="1"/>
          <w:sz w:val="36"/>
          <w:szCs w:val="36"/>
          <w:rtl w:val="1"/>
        </w:rPr>
        <w:t xml:space="preserve">, </w:t>
      </w:r>
      <w:r w:rsidDel="00000000" w:rsidR="00000000" w:rsidRPr="00000000">
        <w:rPr>
          <w:b w:val="1"/>
          <w:sz w:val="36"/>
          <w:szCs w:val="36"/>
          <w:rtl w:val="1"/>
        </w:rPr>
        <w:t xml:space="preserve">עם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תרבות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פנאי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משמעותית</w:t>
      </w:r>
    </w:p>
    <w:p w:rsidR="00000000" w:rsidDel="00000000" w:rsidP="00000000" w:rsidRDefault="00000000" w:rsidRPr="00000000" w14:paraId="00000004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באגרת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נתייחס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למרכיבים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נוכחות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הורית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קשובה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ונוכחות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הורית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מגדלת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המסייעת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ביצירת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פנאי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בטוח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ומשמעותי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עם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השגחה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וגבולות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חופש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צריך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מסגרת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חופשה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הזדמנות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למנוחה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בילוי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והנאה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לחיזוק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הקשרים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המשפחתיים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פעילויות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שחלמנו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הספקנו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ואולי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המשחק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הפשטות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שבחופשה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וההנאה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מהדברים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הקטנים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חופשה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הארוכה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שבפנינו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פקוח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סדירויות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קבועות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גמישות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וחופש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לגילאי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המשמעויות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נוכחות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הורית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המתבגר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והכרחית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תוכניות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החופשה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שילוב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הנאה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תפקידים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ועשייה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תרומה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למישהו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rtl w:val="1"/>
        </w:rPr>
        <w:t xml:space="preserve">...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חדש</w:t>
      </w:r>
      <w:r w:rsidDel="00000000" w:rsidR="00000000" w:rsidRPr="00000000">
        <w:rPr>
          <w:rFonts w:ascii="David" w:cs="David" w:eastAsia="David" w:hAnsi="David"/>
          <w:rtl w:val="1"/>
        </w:rPr>
        <w:t xml:space="preserve">, 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לעזור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בחידוש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...),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מחזק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לקיחת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ומעודד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מיטבית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מצבים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ריק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שעמום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היעדר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ומטרה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וגלישה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להתנהגויות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פוגעניות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וסיכוניות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שילדיכם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ייהנו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מחופשה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בטוחה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יאבדו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חופש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הבחירה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ובכדי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להגביר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תחושת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והמוגנות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ממליצים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לשוחח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עימם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דרכי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הבילוי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לשאול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ולהתעניין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ולהביע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עמדתכם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להפעיל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והשגחה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במידת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הורי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יחדיו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להשפיע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הפנאי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360" w:firstLine="0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360" w:firstLine="0"/>
        <w:rPr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מיומנויות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ועקרונות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מנהיגות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הורית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העשויים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לסייע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בתחושת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סיפוק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ומשמעות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פסיכולוג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''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כמנהיגים</w:t>
      </w:r>
      <w:r w:rsidDel="00000000" w:rsidR="00000000" w:rsidRPr="00000000">
        <w:rPr>
          <w:rtl w:val="1"/>
        </w:rPr>
        <w:t xml:space="preserve">')-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אסטרטגית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החופשה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והתארגנות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התעניינות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ופיקוח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גבולות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גמישות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להתעקש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דיאלוגית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המבוסס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קונפליקטים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להעצמת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בתפקידים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בכישרונותיהם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אתגרים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בעמדותיהם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גיבוי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ותמיכה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וגמישות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בפעילויות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בנוסף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מומלץ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להתייחס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להמלצות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ובמיוחד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המתבגרים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לסיכונים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להשפעות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ולמצבי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במיומנויות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שיעזרו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מהסכנה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בהפחדה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הפחדה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ולהדרכה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ורציף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מפתחים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תהססו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?",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?"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?",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?",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מארגן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המותאמת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שמוגבל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תופתעו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ולגלות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תתבטא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בנהיגה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ובמפגשים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להתנהגות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ההדדית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להזעיק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ותפקידים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מסודרת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וצפויה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ושמירה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עירנות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לשינויים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בהתנהגות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תוקפנות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הסתגרות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מתעורר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מכבדת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בערוצי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והימנעות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ובמסכים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ופיקוח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תזכירו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ההתקשרות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ופרטיות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ילדיכם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לרשותכם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להתגאות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ולהחמיא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חיזוקים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/>
      </w:pP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תשכחו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לילדכם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אוהבים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ושאתם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left="360" w:firstLine="0"/>
        <w:jc w:val="both"/>
        <w:rPr/>
      </w:pP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ובטוחה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2A">
      <w:pPr>
        <w:bidi w:val="1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360" w:firstLine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הפסיכולוגי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החינוכי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מעלות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תרשיחא</w:t>
      </w:r>
      <w:r w:rsidDel="00000000" w:rsidR="00000000" w:rsidRPr="00000000">
        <w:rPr>
          <w:b w:val="1"/>
          <w:rtl w:val="1"/>
        </w:rPr>
        <w:t xml:space="preserve">,</w:t>
      </w:r>
    </w:p>
    <w:p w:rsidR="00000000" w:rsidDel="00000000" w:rsidP="00000000" w:rsidRDefault="00000000" w:rsidRPr="00000000" w14:paraId="0000002C">
      <w:pPr>
        <w:bidi w:val="1"/>
        <w:ind w:left="360" w:firstLine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להיוועצות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ולתאם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מפגש</w:t>
      </w:r>
      <w:r w:rsidDel="00000000" w:rsidR="00000000" w:rsidRPr="00000000">
        <w:rPr>
          <w:b w:val="1"/>
          <w:rtl w:val="1"/>
        </w:rPr>
        <w:t xml:space="preserve"> 9578798</w:t>
      </w:r>
    </w:p>
    <w:p w:rsidR="00000000" w:rsidDel="00000000" w:rsidP="00000000" w:rsidRDefault="00000000" w:rsidRPr="00000000" w14:paraId="0000002D">
      <w:pPr>
        <w:bidi w:val="1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694" w:top="2552" w:left="1560" w:right="1800" w:header="1418" w:footer="3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avid"/>
  <w:font w:name="Calibri"/>
  <w:font w:name="Narkisim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-904237</wp:posOffset>
          </wp:positionH>
          <wp:positionV relativeFrom="paragraph">
            <wp:posOffset>-817333</wp:posOffset>
          </wp:positionV>
          <wp:extent cx="7425055" cy="91059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7428" r="7228" t="0"/>
                  <a:stretch>
                    <a:fillRect/>
                  </a:stretch>
                </pic:blipFill>
                <pic:spPr>
                  <a:xfrm>
                    <a:off x="0" y="0"/>
                    <a:ext cx="7425055" cy="910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רחוב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בן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גוריון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1,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 59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מעלות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תרשיחא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24952,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bidi w:val="1"/>
      <w:jc w:val="center"/>
      <w:rPr>
        <w:rFonts w:ascii="Narkisim" w:cs="Narkisim" w:eastAsia="Narkisim" w:hAnsi="Narkisim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bidi w:val="1"/>
      <w:jc w:val="center"/>
      <w:rPr>
        <w:rFonts w:ascii="Narkisim" w:cs="Narkisim" w:eastAsia="Narkisim" w:hAnsi="Narkisim"/>
        <w:b w:val="1"/>
        <w:sz w:val="28"/>
        <w:szCs w:val="28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-945621</wp:posOffset>
          </wp:positionH>
          <wp:positionV relativeFrom="margin">
            <wp:posOffset>-1531618</wp:posOffset>
          </wp:positionV>
          <wp:extent cx="7535545" cy="8826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796" r="4797" t="0"/>
                  <a:stretch>
                    <a:fillRect/>
                  </a:stretch>
                </pic:blipFill>
                <pic:spPr>
                  <a:xfrm>
                    <a:off x="0" y="0"/>
                    <a:ext cx="7535545" cy="882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עיריית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  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מעלות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  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תרשיחא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Municipality of Ma`alot Tarshiha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שירות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פסיכולוגי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חינוכי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מנהל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חינוך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טל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': 04-9578798 – 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פקס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': 04-9578798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מייל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hinuh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-8@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maltar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7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